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99" w:rsidRPr="00A0637A" w:rsidRDefault="006A0499" w:rsidP="006A0499">
      <w:pPr>
        <w:jc w:val="center"/>
        <w:rPr>
          <w:rFonts w:ascii="Times New Roman" w:hAnsi="Times New Roman" w:cs="Times New Roman"/>
          <w:b/>
          <w:sz w:val="24"/>
          <w:szCs w:val="24"/>
        </w:rPr>
      </w:pPr>
      <w:r w:rsidRPr="00A0637A">
        <w:rPr>
          <w:rFonts w:ascii="Times New Roman" w:hAnsi="Times New Roman" w:cs="Times New Roman"/>
          <w:b/>
          <w:sz w:val="24"/>
          <w:szCs w:val="24"/>
        </w:rPr>
        <w:t xml:space="preserve">Ireland – </w:t>
      </w:r>
      <w:r w:rsidR="008A74F9">
        <w:rPr>
          <w:rFonts w:ascii="Times New Roman" w:hAnsi="Times New Roman" w:cs="Times New Roman"/>
          <w:b/>
          <w:sz w:val="24"/>
          <w:szCs w:val="24"/>
        </w:rPr>
        <w:t>Treaty Implementation</w:t>
      </w:r>
      <w:r w:rsidRPr="00A0637A">
        <w:rPr>
          <w:rFonts w:ascii="Times New Roman" w:hAnsi="Times New Roman" w:cs="Times New Roman"/>
          <w:b/>
          <w:sz w:val="24"/>
          <w:szCs w:val="24"/>
        </w:rPr>
        <w:t xml:space="preserve"> Statement</w:t>
      </w:r>
    </w:p>
    <w:p w:rsidR="006A0499" w:rsidRPr="00A0637A" w:rsidRDefault="008C5AF0" w:rsidP="006A0499">
      <w:pPr>
        <w:jc w:val="center"/>
        <w:rPr>
          <w:rFonts w:ascii="Times New Roman" w:hAnsi="Times New Roman" w:cs="Times New Roman"/>
          <w:b/>
          <w:sz w:val="24"/>
          <w:szCs w:val="24"/>
        </w:rPr>
      </w:pPr>
      <w:r>
        <w:rPr>
          <w:rFonts w:ascii="Times New Roman" w:hAnsi="Times New Roman" w:cs="Times New Roman"/>
          <w:b/>
          <w:sz w:val="24"/>
          <w:szCs w:val="24"/>
        </w:rPr>
        <w:t>ATT CSP11, 25 – 29 August 2025</w:t>
      </w:r>
    </w:p>
    <w:p w:rsidR="006A0499" w:rsidRPr="00A0637A" w:rsidRDefault="006A0499" w:rsidP="006A0499">
      <w:pPr>
        <w:jc w:val="center"/>
        <w:rPr>
          <w:rFonts w:ascii="Times New Roman" w:hAnsi="Times New Roman" w:cs="Times New Roman"/>
          <w:b/>
          <w:sz w:val="24"/>
          <w:szCs w:val="24"/>
        </w:rPr>
      </w:pPr>
      <w:r w:rsidRPr="00A0637A">
        <w:rPr>
          <w:rFonts w:ascii="Times New Roman" w:hAnsi="Times New Roman" w:cs="Times New Roman"/>
          <w:b/>
          <w:sz w:val="24"/>
          <w:szCs w:val="24"/>
        </w:rPr>
        <w:t>Geneva</w:t>
      </w:r>
    </w:p>
    <w:p w:rsidR="00B95EA6" w:rsidRDefault="00D50ED5" w:rsidP="00D50ED5">
      <w:pPr>
        <w:spacing w:line="240" w:lineRule="auto"/>
        <w:rPr>
          <w:rFonts w:ascii="Times New Roman" w:hAnsi="Times New Roman" w:cs="Times New Roman"/>
          <w:sz w:val="24"/>
        </w:rPr>
      </w:pPr>
      <w:r>
        <w:rPr>
          <w:rFonts w:ascii="Times New Roman" w:hAnsi="Times New Roman" w:cs="Times New Roman"/>
          <w:sz w:val="24"/>
        </w:rPr>
        <w:t>Thank you</w:t>
      </w:r>
      <w:r w:rsidR="00B95EA6">
        <w:rPr>
          <w:rFonts w:ascii="Times New Roman" w:hAnsi="Times New Roman" w:cs="Times New Roman"/>
          <w:sz w:val="24"/>
        </w:rPr>
        <w:t>.</w:t>
      </w:r>
    </w:p>
    <w:p w:rsidR="00D50ED5" w:rsidRDefault="00D50ED5" w:rsidP="00D50ED5">
      <w:pPr>
        <w:spacing w:line="360" w:lineRule="auto"/>
        <w:rPr>
          <w:rFonts w:ascii="Times New Roman" w:hAnsi="Times New Roman" w:cs="Times New Roman"/>
          <w:sz w:val="24"/>
          <w:szCs w:val="24"/>
        </w:rPr>
      </w:pPr>
      <w:r w:rsidRPr="002A08D9">
        <w:rPr>
          <w:rFonts w:ascii="Times New Roman" w:hAnsi="Times New Roman" w:cs="Times New Roman"/>
          <w:sz w:val="24"/>
          <w:szCs w:val="24"/>
        </w:rPr>
        <w:t>Ireland aligns itself with the statements delivered by the European Union and would like to add the following remarks in a national capacity.</w:t>
      </w:r>
    </w:p>
    <w:p w:rsidR="00731003" w:rsidRPr="00731003" w:rsidRDefault="00D50ED5" w:rsidP="00731003">
      <w:pPr>
        <w:spacing w:line="360" w:lineRule="auto"/>
        <w:rPr>
          <w:rFonts w:ascii="Times New Roman" w:hAnsi="Times New Roman" w:cs="Times New Roman"/>
          <w:sz w:val="24"/>
          <w:szCs w:val="24"/>
        </w:rPr>
      </w:pPr>
      <w:r>
        <w:rPr>
          <w:rFonts w:ascii="Times New Roman" w:hAnsi="Times New Roman" w:cs="Times New Roman"/>
          <w:sz w:val="24"/>
          <w:szCs w:val="24"/>
        </w:rPr>
        <w:t xml:space="preserve">First, allow me to thank </w:t>
      </w:r>
      <w:r w:rsidRPr="002A08D9">
        <w:rPr>
          <w:rFonts w:ascii="Times New Roman" w:hAnsi="Times New Roman" w:cs="Times New Roman"/>
          <w:sz w:val="24"/>
          <w:szCs w:val="24"/>
        </w:rPr>
        <w:t xml:space="preserve">Ambassador </w:t>
      </w:r>
      <w:r w:rsidR="00731003">
        <w:rPr>
          <w:rFonts w:ascii="Times New Roman" w:hAnsi="Times New Roman" w:cs="Times New Roman"/>
          <w:sz w:val="24"/>
          <w:szCs w:val="24"/>
        </w:rPr>
        <w:t>Lacanilao</w:t>
      </w:r>
      <w:r w:rsidR="0045352C">
        <w:rPr>
          <w:rFonts w:ascii="Times New Roman" w:hAnsi="Times New Roman" w:cs="Times New Roman"/>
          <w:sz w:val="24"/>
          <w:szCs w:val="24"/>
        </w:rPr>
        <w:t xml:space="preserve"> of </w:t>
      </w:r>
      <w:r w:rsidR="00731003">
        <w:rPr>
          <w:rFonts w:ascii="Times New Roman" w:hAnsi="Times New Roman" w:cs="Times New Roman"/>
          <w:sz w:val="24"/>
          <w:szCs w:val="24"/>
        </w:rPr>
        <w:t>the Philippines</w:t>
      </w:r>
      <w:r>
        <w:rPr>
          <w:rFonts w:ascii="Times New Roman" w:hAnsi="Times New Roman" w:cs="Times New Roman"/>
          <w:sz w:val="24"/>
          <w:szCs w:val="24"/>
        </w:rPr>
        <w:t>,</w:t>
      </w:r>
      <w:r w:rsidR="005E57F9">
        <w:rPr>
          <w:rFonts w:ascii="Times New Roman" w:hAnsi="Times New Roman" w:cs="Times New Roman"/>
          <w:sz w:val="24"/>
          <w:szCs w:val="24"/>
        </w:rPr>
        <w:t xml:space="preserve"> as well as the</w:t>
      </w:r>
      <w:r w:rsidR="00473737">
        <w:rPr>
          <w:rFonts w:ascii="Times New Roman" w:hAnsi="Times New Roman" w:cs="Times New Roman"/>
          <w:sz w:val="24"/>
          <w:szCs w:val="24"/>
        </w:rPr>
        <w:t xml:space="preserve"> sub-working group</w:t>
      </w:r>
      <w:r w:rsidR="005E57F9">
        <w:rPr>
          <w:rFonts w:ascii="Times New Roman" w:hAnsi="Times New Roman" w:cs="Times New Roman"/>
          <w:sz w:val="24"/>
          <w:szCs w:val="24"/>
        </w:rPr>
        <w:t xml:space="preserve"> facilitators,</w:t>
      </w:r>
      <w:r>
        <w:rPr>
          <w:rFonts w:ascii="Times New Roman" w:hAnsi="Times New Roman" w:cs="Times New Roman"/>
          <w:sz w:val="24"/>
          <w:szCs w:val="24"/>
        </w:rPr>
        <w:t xml:space="preserve"> for continued efforts in </w:t>
      </w:r>
      <w:r w:rsidR="005670AF">
        <w:rPr>
          <w:rFonts w:ascii="Times New Roman" w:hAnsi="Times New Roman" w:cs="Times New Roman"/>
          <w:sz w:val="24"/>
          <w:szCs w:val="24"/>
        </w:rPr>
        <w:t>guiding our work and ensuring the Working Group on Effective Treaty Implementation</w:t>
      </w:r>
      <w:r w:rsidR="00B95EA6">
        <w:rPr>
          <w:rFonts w:ascii="Times New Roman" w:hAnsi="Times New Roman" w:cs="Times New Roman"/>
          <w:sz w:val="24"/>
          <w:szCs w:val="24"/>
        </w:rPr>
        <w:t xml:space="preserve"> (WGETI)</w:t>
      </w:r>
      <w:r w:rsidR="005670AF">
        <w:rPr>
          <w:rFonts w:ascii="Times New Roman" w:hAnsi="Times New Roman" w:cs="Times New Roman"/>
          <w:sz w:val="24"/>
          <w:szCs w:val="24"/>
        </w:rPr>
        <w:t xml:space="preserve"> fulfils its mandate </w:t>
      </w:r>
      <w:r w:rsidR="00B95EA6">
        <w:rPr>
          <w:rFonts w:ascii="Times New Roman" w:hAnsi="Times New Roman" w:cs="Times New Roman"/>
          <w:sz w:val="24"/>
          <w:szCs w:val="24"/>
        </w:rPr>
        <w:t xml:space="preserve">of </w:t>
      </w:r>
      <w:r w:rsidR="005670AF">
        <w:rPr>
          <w:rFonts w:ascii="Times New Roman" w:hAnsi="Times New Roman" w:cs="Times New Roman"/>
          <w:sz w:val="24"/>
          <w:szCs w:val="24"/>
        </w:rPr>
        <w:t>strengthening the Treaty.</w:t>
      </w:r>
      <w:r w:rsidR="00731003" w:rsidRPr="00731003">
        <w:rPr>
          <w:rFonts w:ascii="Times New Roman" w:hAnsi="Times New Roman" w:cs="Times New Roman"/>
          <w:sz w:val="24"/>
          <w:szCs w:val="24"/>
        </w:rPr>
        <w:t xml:space="preserve"> </w:t>
      </w:r>
    </w:p>
    <w:p w:rsidR="002E2B9C" w:rsidRDefault="00726FA8" w:rsidP="00D50ED5">
      <w:pPr>
        <w:spacing w:line="360" w:lineRule="auto"/>
        <w:rPr>
          <w:rFonts w:ascii="Times New Roman" w:hAnsi="Times New Roman" w:cs="Times New Roman"/>
          <w:sz w:val="24"/>
        </w:rPr>
      </w:pPr>
      <w:r>
        <w:rPr>
          <w:rFonts w:ascii="Times New Roman" w:hAnsi="Times New Roman" w:cs="Times New Roman"/>
          <w:sz w:val="24"/>
        </w:rPr>
        <w:t>President</w:t>
      </w:r>
      <w:r w:rsidR="002E2B9C">
        <w:rPr>
          <w:rFonts w:ascii="Times New Roman" w:hAnsi="Times New Roman" w:cs="Times New Roman"/>
          <w:sz w:val="24"/>
        </w:rPr>
        <w:t>,</w:t>
      </w:r>
    </w:p>
    <w:p w:rsidR="00473737" w:rsidRDefault="00473737" w:rsidP="00473737">
      <w:pPr>
        <w:spacing w:line="360" w:lineRule="auto"/>
        <w:rPr>
          <w:rFonts w:ascii="Times New Roman" w:hAnsi="Times New Roman" w:cs="Times New Roman"/>
          <w:sz w:val="24"/>
          <w:szCs w:val="24"/>
        </w:rPr>
      </w:pPr>
      <w:r w:rsidRPr="002C366B">
        <w:rPr>
          <w:rFonts w:ascii="Times New Roman" w:hAnsi="Times New Roman" w:cs="Times New Roman"/>
          <w:sz w:val="24"/>
          <w:szCs w:val="24"/>
        </w:rPr>
        <w:t>The effective implementation of the ATT is a key step in preventing the illicit and irresponsible transfers of arms which continue to contribute to conflict, instability and violence. It promotes accountability and transparency in the international arms trade. The universal application and full implementation of the ATT will enhance international security, reduce violence in both conflict and non-conflict settings, and can bring us closer to achieving the goals of the 2030 agenda.</w:t>
      </w:r>
    </w:p>
    <w:p w:rsidR="00915F79" w:rsidRDefault="00473737" w:rsidP="00D50ED5">
      <w:pPr>
        <w:spacing w:line="360" w:lineRule="auto"/>
        <w:rPr>
          <w:rFonts w:ascii="Times New Roman" w:hAnsi="Times New Roman" w:cs="Times New Roman"/>
          <w:sz w:val="24"/>
          <w:szCs w:val="24"/>
        </w:rPr>
      </w:pPr>
      <w:r w:rsidRPr="00A253A3">
        <w:rPr>
          <w:rFonts w:ascii="Times New Roman" w:hAnsi="Times New Roman" w:cs="Times New Roman"/>
          <w:sz w:val="24"/>
          <w:szCs w:val="24"/>
        </w:rPr>
        <w:t xml:space="preserve">Ireland supports the conclusions and recommendations as contained in the </w:t>
      </w:r>
      <w:r w:rsidR="00726FA8">
        <w:rPr>
          <w:rFonts w:ascii="Times New Roman" w:hAnsi="Times New Roman" w:cs="Times New Roman"/>
          <w:sz w:val="24"/>
          <w:szCs w:val="24"/>
        </w:rPr>
        <w:t>Working Group</w:t>
      </w:r>
      <w:bookmarkStart w:id="0" w:name="_GoBack"/>
      <w:bookmarkEnd w:id="0"/>
      <w:r w:rsidRPr="00A253A3">
        <w:rPr>
          <w:rFonts w:ascii="Times New Roman" w:hAnsi="Times New Roman" w:cs="Times New Roman"/>
          <w:sz w:val="24"/>
          <w:szCs w:val="24"/>
        </w:rPr>
        <w:t xml:space="preserve"> Ch</w:t>
      </w:r>
      <w:r>
        <w:rPr>
          <w:rFonts w:ascii="Times New Roman" w:hAnsi="Times New Roman" w:cs="Times New Roman"/>
          <w:sz w:val="24"/>
          <w:szCs w:val="24"/>
        </w:rPr>
        <w:t>air’s Draft Report to the CSP. We are encouraged by the structured discussions</w:t>
      </w:r>
      <w:r w:rsidR="002406A6">
        <w:rPr>
          <w:rFonts w:ascii="Times New Roman" w:hAnsi="Times New Roman" w:cs="Times New Roman"/>
          <w:sz w:val="24"/>
          <w:szCs w:val="24"/>
        </w:rPr>
        <w:t xml:space="preserve"> held</w:t>
      </w:r>
      <w:r>
        <w:rPr>
          <w:rFonts w:ascii="Times New Roman" w:hAnsi="Times New Roman" w:cs="Times New Roman"/>
          <w:sz w:val="24"/>
          <w:szCs w:val="24"/>
        </w:rPr>
        <w:t xml:space="preserve">, </w:t>
      </w:r>
      <w:r w:rsidR="00AE57ED">
        <w:rPr>
          <w:rFonts w:ascii="Times New Roman" w:hAnsi="Times New Roman" w:cs="Times New Roman"/>
          <w:sz w:val="24"/>
          <w:szCs w:val="24"/>
        </w:rPr>
        <w:t xml:space="preserve">which included </w:t>
      </w:r>
      <w:r>
        <w:rPr>
          <w:rFonts w:ascii="Times New Roman" w:hAnsi="Times New Roman" w:cs="Times New Roman"/>
          <w:sz w:val="24"/>
          <w:szCs w:val="24"/>
        </w:rPr>
        <w:t>practical implementation questions, and look forward to continuing this productive</w:t>
      </w:r>
      <w:r w:rsidR="00BC4DF2">
        <w:rPr>
          <w:rFonts w:ascii="Times New Roman" w:hAnsi="Times New Roman" w:cs="Times New Roman"/>
          <w:sz w:val="24"/>
          <w:szCs w:val="24"/>
        </w:rPr>
        <w:t xml:space="preserve"> format. Next year’s discussions on brokering, and particularly on the key issue of risk assessment</w:t>
      </w:r>
      <w:r w:rsidR="00AE57ED">
        <w:rPr>
          <w:rFonts w:ascii="Times New Roman" w:hAnsi="Times New Roman" w:cs="Times New Roman"/>
          <w:sz w:val="24"/>
          <w:szCs w:val="24"/>
        </w:rPr>
        <w:t>, as foreseen in the new multi-year work plan,</w:t>
      </w:r>
      <w:r w:rsidR="00BC4DF2">
        <w:rPr>
          <w:rFonts w:ascii="Times New Roman" w:hAnsi="Times New Roman" w:cs="Times New Roman"/>
          <w:sz w:val="24"/>
          <w:szCs w:val="24"/>
        </w:rPr>
        <w:t xml:space="preserve"> will be important to improving the practical implementation of the ATT and enhancing its real life impact</w:t>
      </w:r>
      <w:r w:rsidR="00915F79">
        <w:rPr>
          <w:rFonts w:ascii="Times New Roman" w:hAnsi="Times New Roman" w:cs="Times New Roman"/>
          <w:sz w:val="24"/>
          <w:szCs w:val="24"/>
        </w:rPr>
        <w:t xml:space="preserve">. </w:t>
      </w:r>
    </w:p>
    <w:p w:rsidR="00473737" w:rsidRDefault="00915F79" w:rsidP="00D50ED5">
      <w:pPr>
        <w:spacing w:line="360" w:lineRule="auto"/>
        <w:rPr>
          <w:rFonts w:ascii="Times New Roman" w:hAnsi="Times New Roman" w:cs="Times New Roman"/>
          <w:sz w:val="24"/>
        </w:rPr>
      </w:pPr>
      <w:r w:rsidRPr="00915F79">
        <w:rPr>
          <w:rFonts w:ascii="Times New Roman" w:hAnsi="Times New Roman" w:cs="Times New Roman"/>
          <w:sz w:val="24"/>
          <w:szCs w:val="24"/>
        </w:rPr>
        <w:t>Ireland calls on all ATT States Parties to fulfil their obligations under the Treaty, including under Articles 6 &amp; 7 on prohibitions and risk assessment. Fulfilling these legal obligations is critical to achieving our collective goal of reducing human suffering</w:t>
      </w:r>
      <w:r>
        <w:rPr>
          <w:rFonts w:ascii="Times New Roman" w:hAnsi="Times New Roman" w:cs="Times New Roman"/>
          <w:sz w:val="24"/>
          <w:szCs w:val="24"/>
        </w:rPr>
        <w:t>.</w:t>
      </w:r>
    </w:p>
    <w:p w:rsidR="002E2B9C" w:rsidRDefault="0056250D" w:rsidP="00D50ED5">
      <w:pPr>
        <w:spacing w:line="360" w:lineRule="auto"/>
        <w:rPr>
          <w:rFonts w:ascii="Times New Roman" w:hAnsi="Times New Roman" w:cs="Times New Roman"/>
          <w:sz w:val="24"/>
        </w:rPr>
      </w:pPr>
      <w:r>
        <w:rPr>
          <w:rFonts w:ascii="Times New Roman" w:hAnsi="Times New Roman" w:cs="Times New Roman"/>
          <w:sz w:val="24"/>
        </w:rPr>
        <w:t>Chair,</w:t>
      </w:r>
      <w:r w:rsidR="00112AE7">
        <w:rPr>
          <w:rFonts w:ascii="Times New Roman" w:hAnsi="Times New Roman" w:cs="Times New Roman"/>
          <w:sz w:val="24"/>
        </w:rPr>
        <w:t xml:space="preserve"> </w:t>
      </w:r>
    </w:p>
    <w:p w:rsidR="00CF67B9" w:rsidRDefault="0056250D" w:rsidP="00D50ED5">
      <w:pPr>
        <w:spacing w:line="360" w:lineRule="auto"/>
        <w:rPr>
          <w:rFonts w:ascii="Times New Roman" w:hAnsi="Times New Roman" w:cs="Times New Roman"/>
          <w:sz w:val="24"/>
        </w:rPr>
      </w:pPr>
      <w:r>
        <w:rPr>
          <w:rFonts w:ascii="Times New Roman" w:hAnsi="Times New Roman" w:cs="Times New Roman"/>
          <w:sz w:val="24"/>
        </w:rPr>
        <w:t xml:space="preserve">We welcome the recommendations regarding the </w:t>
      </w:r>
      <w:r w:rsidR="00CF67B9">
        <w:rPr>
          <w:rFonts w:ascii="Times New Roman" w:hAnsi="Times New Roman" w:cs="Times New Roman"/>
          <w:sz w:val="24"/>
        </w:rPr>
        <w:t>Sub</w:t>
      </w:r>
      <w:r w:rsidR="00AE57ED">
        <w:rPr>
          <w:rFonts w:ascii="Times New Roman" w:hAnsi="Times New Roman" w:cs="Times New Roman"/>
          <w:sz w:val="24"/>
        </w:rPr>
        <w:t>-</w:t>
      </w:r>
      <w:r w:rsidR="00CF67B9">
        <w:rPr>
          <w:rFonts w:ascii="Times New Roman" w:hAnsi="Times New Roman" w:cs="Times New Roman"/>
          <w:sz w:val="24"/>
        </w:rPr>
        <w:t>Working Group on Current and</w:t>
      </w:r>
      <w:r>
        <w:rPr>
          <w:rFonts w:ascii="Times New Roman" w:hAnsi="Times New Roman" w:cs="Times New Roman"/>
          <w:sz w:val="24"/>
        </w:rPr>
        <w:t xml:space="preserve"> Emerging Implementation Issues</w:t>
      </w:r>
      <w:r w:rsidR="006B3CFF">
        <w:rPr>
          <w:rFonts w:ascii="Times New Roman" w:hAnsi="Times New Roman" w:cs="Times New Roman"/>
          <w:sz w:val="24"/>
        </w:rPr>
        <w:t xml:space="preserve">, in particular regarding discussing challenges related to the scope of the Treaty, the issue of parts and components, as well as continued discussions on the role of industry. Regarding the latter, we are supportive of developing a list of reference </w:t>
      </w:r>
      <w:r w:rsidR="006B3CFF">
        <w:rPr>
          <w:rFonts w:ascii="Times New Roman" w:hAnsi="Times New Roman" w:cs="Times New Roman"/>
          <w:sz w:val="24"/>
        </w:rPr>
        <w:lastRenderedPageBreak/>
        <w:t xml:space="preserve">materials for industry actors, and to explore the possibility of developing voluntary guidance on IHL and human rights due diligence. We note the point </w:t>
      </w:r>
      <w:r w:rsidR="00AE57ED">
        <w:rPr>
          <w:rFonts w:ascii="Times New Roman" w:hAnsi="Times New Roman" w:cs="Times New Roman"/>
          <w:sz w:val="24"/>
        </w:rPr>
        <w:t xml:space="preserve">raised </w:t>
      </w:r>
      <w:r w:rsidR="006B3CFF">
        <w:rPr>
          <w:rFonts w:ascii="Times New Roman" w:hAnsi="Times New Roman" w:cs="Times New Roman"/>
          <w:sz w:val="24"/>
        </w:rPr>
        <w:t>by t</w:t>
      </w:r>
      <w:r w:rsidR="00116E1D">
        <w:rPr>
          <w:rFonts w:ascii="Times New Roman" w:hAnsi="Times New Roman" w:cs="Times New Roman"/>
          <w:sz w:val="24"/>
        </w:rPr>
        <w:t xml:space="preserve">he delegation of Panama in May </w:t>
      </w:r>
      <w:r w:rsidR="006B3CFF">
        <w:rPr>
          <w:rFonts w:ascii="Times New Roman" w:hAnsi="Times New Roman" w:cs="Times New Roman"/>
          <w:sz w:val="24"/>
        </w:rPr>
        <w:t>that this type of guidance might be better suited for development in the Human Rights Council, due to the expertise in that body and</w:t>
      </w:r>
      <w:r w:rsidR="00412DDA">
        <w:rPr>
          <w:rFonts w:ascii="Times New Roman" w:hAnsi="Times New Roman" w:cs="Times New Roman"/>
          <w:sz w:val="24"/>
        </w:rPr>
        <w:t xml:space="preserve"> that of</w:t>
      </w:r>
      <w:r w:rsidR="006B3CFF">
        <w:rPr>
          <w:rFonts w:ascii="Times New Roman" w:hAnsi="Times New Roman" w:cs="Times New Roman"/>
          <w:sz w:val="24"/>
        </w:rPr>
        <w:t xml:space="preserve"> the OHCHR. We look forward to discussing this further. We also welcome </w:t>
      </w:r>
      <w:r w:rsidR="005D6903">
        <w:rPr>
          <w:rFonts w:ascii="Times New Roman" w:hAnsi="Times New Roman" w:cs="Times New Roman"/>
          <w:sz w:val="24"/>
        </w:rPr>
        <w:t>the proposed action regarding additional guidance on implementation of Article 7.4 with regard to gender</w:t>
      </w:r>
      <w:r w:rsidR="00AE57ED">
        <w:rPr>
          <w:rFonts w:ascii="Times New Roman" w:hAnsi="Times New Roman" w:cs="Times New Roman"/>
          <w:sz w:val="24"/>
        </w:rPr>
        <w:t>-</w:t>
      </w:r>
      <w:r w:rsidR="005D6903">
        <w:rPr>
          <w:rFonts w:ascii="Times New Roman" w:hAnsi="Times New Roman" w:cs="Times New Roman"/>
          <w:sz w:val="24"/>
        </w:rPr>
        <w:t>based violence, including the release of a separate factsheet to further facilitate its application.</w:t>
      </w:r>
    </w:p>
    <w:p w:rsidR="005D6903" w:rsidRDefault="00260536" w:rsidP="00260536">
      <w:pPr>
        <w:spacing w:line="360" w:lineRule="auto"/>
        <w:rPr>
          <w:rFonts w:ascii="Times New Roman" w:hAnsi="Times New Roman" w:cs="Times New Roman"/>
          <w:sz w:val="24"/>
        </w:rPr>
      </w:pPr>
      <w:r>
        <w:rPr>
          <w:rFonts w:ascii="Times New Roman" w:hAnsi="Times New Roman" w:cs="Times New Roman"/>
          <w:sz w:val="24"/>
        </w:rPr>
        <w:t xml:space="preserve">Ireland welcomed </w:t>
      </w:r>
      <w:r w:rsidR="002E4D4C">
        <w:rPr>
          <w:rFonts w:ascii="Times New Roman" w:hAnsi="Times New Roman" w:cs="Times New Roman"/>
          <w:sz w:val="24"/>
        </w:rPr>
        <w:t xml:space="preserve">the </w:t>
      </w:r>
      <w:r w:rsidR="00B95EA6">
        <w:rPr>
          <w:rFonts w:ascii="Times New Roman" w:hAnsi="Times New Roman" w:cs="Times New Roman"/>
          <w:sz w:val="24"/>
        </w:rPr>
        <w:t>a</w:t>
      </w:r>
      <w:r w:rsidR="002E4D4C">
        <w:rPr>
          <w:rFonts w:ascii="Times New Roman" w:hAnsi="Times New Roman" w:cs="Times New Roman"/>
          <w:sz w:val="24"/>
        </w:rPr>
        <w:t xml:space="preserve">d-hoc discussion </w:t>
      </w:r>
      <w:r w:rsidR="002E4D4C" w:rsidRPr="002E4D4C">
        <w:rPr>
          <w:rFonts w:ascii="Times New Roman" w:hAnsi="Times New Roman" w:cs="Times New Roman"/>
          <w:sz w:val="24"/>
        </w:rPr>
        <w:t>on ‘</w:t>
      </w:r>
      <w:r w:rsidRPr="00260536">
        <w:rPr>
          <w:rFonts w:ascii="Times New Roman" w:hAnsi="Times New Roman" w:cs="Times New Roman"/>
          <w:sz w:val="24"/>
        </w:rPr>
        <w:t>the role of rulings of the International Court of Justi</w:t>
      </w:r>
      <w:r>
        <w:rPr>
          <w:rFonts w:ascii="Times New Roman" w:hAnsi="Times New Roman" w:cs="Times New Roman"/>
          <w:sz w:val="24"/>
        </w:rPr>
        <w:t xml:space="preserve">ce and findings of the Special </w:t>
      </w:r>
      <w:r w:rsidRPr="00260536">
        <w:rPr>
          <w:rFonts w:ascii="Times New Roman" w:hAnsi="Times New Roman" w:cs="Times New Roman"/>
          <w:sz w:val="24"/>
        </w:rPr>
        <w:t>Procedures of the Human Rights Council in the application Articles 6 and 7 of the Treaty</w:t>
      </w:r>
      <w:r>
        <w:rPr>
          <w:rFonts w:ascii="Times New Roman" w:hAnsi="Times New Roman" w:cs="Times New Roman"/>
          <w:sz w:val="24"/>
        </w:rPr>
        <w:t xml:space="preserve">’, which </w:t>
      </w:r>
      <w:r w:rsidR="002E4D4C" w:rsidRPr="002E4D4C">
        <w:rPr>
          <w:rFonts w:ascii="Times New Roman" w:hAnsi="Times New Roman" w:cs="Times New Roman"/>
          <w:sz w:val="24"/>
        </w:rPr>
        <w:t xml:space="preserve">was an important opportunity to reflect on </w:t>
      </w:r>
      <w:r w:rsidR="002E4D4C">
        <w:rPr>
          <w:rFonts w:ascii="Times New Roman" w:hAnsi="Times New Roman" w:cs="Times New Roman"/>
          <w:sz w:val="24"/>
        </w:rPr>
        <w:t xml:space="preserve">application </w:t>
      </w:r>
      <w:r w:rsidR="002E4D4C" w:rsidRPr="002E4D4C">
        <w:rPr>
          <w:rFonts w:ascii="Times New Roman" w:hAnsi="Times New Roman" w:cs="Times New Roman"/>
          <w:sz w:val="24"/>
        </w:rPr>
        <w:t>of, and compliance with, core provisions of the ATT.</w:t>
      </w:r>
      <w:r w:rsidR="002E4D4C">
        <w:rPr>
          <w:rFonts w:ascii="Times New Roman" w:hAnsi="Times New Roman" w:cs="Times New Roman"/>
          <w:sz w:val="24"/>
        </w:rPr>
        <w:t xml:space="preserve"> </w:t>
      </w:r>
      <w:r w:rsidR="002E4D4C" w:rsidRPr="002E4D4C">
        <w:rPr>
          <w:rFonts w:ascii="Times New Roman" w:hAnsi="Times New Roman" w:cs="Times New Roman"/>
          <w:sz w:val="24"/>
        </w:rPr>
        <w:t>It is crucial that the Treaty is responsive to current events, and we encourage more conversations on real</w:t>
      </w:r>
      <w:r w:rsidR="00282D4A">
        <w:rPr>
          <w:rFonts w:ascii="Times New Roman" w:hAnsi="Times New Roman" w:cs="Times New Roman"/>
          <w:sz w:val="24"/>
        </w:rPr>
        <w:t>-</w:t>
      </w:r>
      <w:r w:rsidR="002E4D4C" w:rsidRPr="002E4D4C">
        <w:rPr>
          <w:rFonts w:ascii="Times New Roman" w:hAnsi="Times New Roman" w:cs="Times New Roman"/>
          <w:sz w:val="24"/>
        </w:rPr>
        <w:t>world case studies, in an inclusive and constructive manner, which is essential towards fulfilling the ATT’s object and purpose.</w:t>
      </w:r>
      <w:r w:rsidR="00996479">
        <w:rPr>
          <w:rFonts w:ascii="Times New Roman" w:hAnsi="Times New Roman" w:cs="Times New Roman"/>
          <w:sz w:val="24"/>
        </w:rPr>
        <w:t xml:space="preserve"> </w:t>
      </w:r>
    </w:p>
    <w:p w:rsidR="005D6903" w:rsidRDefault="005D6903" w:rsidP="00D50ED5">
      <w:pPr>
        <w:spacing w:line="360" w:lineRule="auto"/>
        <w:rPr>
          <w:rFonts w:ascii="Times New Roman" w:hAnsi="Times New Roman" w:cs="Times New Roman"/>
          <w:sz w:val="24"/>
        </w:rPr>
      </w:pPr>
      <w:r>
        <w:rPr>
          <w:rFonts w:ascii="Times New Roman" w:hAnsi="Times New Roman" w:cs="Times New Roman"/>
          <w:sz w:val="24"/>
        </w:rPr>
        <w:t>Lastl</w:t>
      </w:r>
      <w:r w:rsidR="00996479">
        <w:rPr>
          <w:rFonts w:ascii="Times New Roman" w:hAnsi="Times New Roman" w:cs="Times New Roman"/>
          <w:sz w:val="24"/>
        </w:rPr>
        <w:t>y, Ireland fully supports and thanks Mexico for their initiative to establish gender focal point(s) in the ATT. This is a practical, feasible step towards improving the gender considerations in a cross</w:t>
      </w:r>
      <w:r w:rsidR="00AE57ED">
        <w:rPr>
          <w:rFonts w:ascii="Times New Roman" w:hAnsi="Times New Roman" w:cs="Times New Roman"/>
          <w:sz w:val="24"/>
        </w:rPr>
        <w:t>-</w:t>
      </w:r>
      <w:r w:rsidR="00996479">
        <w:rPr>
          <w:rFonts w:ascii="Times New Roman" w:hAnsi="Times New Roman" w:cs="Times New Roman"/>
          <w:sz w:val="24"/>
        </w:rPr>
        <w:t xml:space="preserve">cutting manner across all aspects of the ATT. We look forward to further discussing this proposal and </w:t>
      </w:r>
      <w:r w:rsidR="00116E1D">
        <w:rPr>
          <w:rFonts w:ascii="Times New Roman" w:hAnsi="Times New Roman" w:cs="Times New Roman"/>
          <w:sz w:val="24"/>
        </w:rPr>
        <w:t>formally</w:t>
      </w:r>
      <w:r w:rsidR="00AE57ED">
        <w:rPr>
          <w:rFonts w:ascii="Times New Roman" w:hAnsi="Times New Roman" w:cs="Times New Roman"/>
          <w:sz w:val="24"/>
        </w:rPr>
        <w:t xml:space="preserve"> </w:t>
      </w:r>
      <w:r w:rsidR="00996479">
        <w:rPr>
          <w:rFonts w:ascii="Times New Roman" w:hAnsi="Times New Roman" w:cs="Times New Roman"/>
          <w:sz w:val="24"/>
        </w:rPr>
        <w:t>establishing the focal points by the end of this week.</w:t>
      </w:r>
    </w:p>
    <w:p w:rsidR="0056250D" w:rsidRPr="00D50ED5" w:rsidRDefault="00932B52" w:rsidP="00D50ED5">
      <w:pPr>
        <w:spacing w:line="360" w:lineRule="auto"/>
        <w:rPr>
          <w:rFonts w:ascii="Times New Roman" w:hAnsi="Times New Roman" w:cs="Times New Roman"/>
          <w:sz w:val="24"/>
        </w:rPr>
      </w:pPr>
      <w:r>
        <w:rPr>
          <w:rFonts w:ascii="Times New Roman" w:hAnsi="Times New Roman" w:cs="Times New Roman"/>
          <w:sz w:val="24"/>
        </w:rPr>
        <w:t>Thank you</w:t>
      </w:r>
    </w:p>
    <w:sectPr w:rsidR="0056250D" w:rsidRPr="00D50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99"/>
    <w:rsid w:val="00053A7F"/>
    <w:rsid w:val="00082C4D"/>
    <w:rsid w:val="00112AE7"/>
    <w:rsid w:val="00116E1D"/>
    <w:rsid w:val="00203899"/>
    <w:rsid w:val="002406A6"/>
    <w:rsid w:val="00260536"/>
    <w:rsid w:val="00282D4A"/>
    <w:rsid w:val="002B3F07"/>
    <w:rsid w:val="002C4A7E"/>
    <w:rsid w:val="002E2B9C"/>
    <w:rsid w:val="002E4D4C"/>
    <w:rsid w:val="003074EB"/>
    <w:rsid w:val="00334DD6"/>
    <w:rsid w:val="00412DDA"/>
    <w:rsid w:val="0045352C"/>
    <w:rsid w:val="00473737"/>
    <w:rsid w:val="004B235B"/>
    <w:rsid w:val="00504403"/>
    <w:rsid w:val="0056250D"/>
    <w:rsid w:val="005670AF"/>
    <w:rsid w:val="005D6903"/>
    <w:rsid w:val="005E57F9"/>
    <w:rsid w:val="00656560"/>
    <w:rsid w:val="006A0499"/>
    <w:rsid w:val="006B38D8"/>
    <w:rsid w:val="006B3CFF"/>
    <w:rsid w:val="006E3A7D"/>
    <w:rsid w:val="00726FA8"/>
    <w:rsid w:val="00731003"/>
    <w:rsid w:val="00742976"/>
    <w:rsid w:val="008536BA"/>
    <w:rsid w:val="008A74F9"/>
    <w:rsid w:val="008C5AF0"/>
    <w:rsid w:val="00915F79"/>
    <w:rsid w:val="00932B52"/>
    <w:rsid w:val="00996479"/>
    <w:rsid w:val="00AE57ED"/>
    <w:rsid w:val="00B577C8"/>
    <w:rsid w:val="00B81DDB"/>
    <w:rsid w:val="00B95EA6"/>
    <w:rsid w:val="00BC4DF2"/>
    <w:rsid w:val="00C02660"/>
    <w:rsid w:val="00C066EB"/>
    <w:rsid w:val="00CF67B9"/>
    <w:rsid w:val="00D06486"/>
    <w:rsid w:val="00D50ED5"/>
    <w:rsid w:val="00DA2B3C"/>
    <w:rsid w:val="00DF7CC5"/>
    <w:rsid w:val="00F97F7A"/>
    <w:rsid w:val="00FF4E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AADD"/>
  <w15:chartTrackingRefBased/>
  <w15:docId w15:val="{7CA02C1E-26C2-48BE-8871-25CDD871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A"/>
    <w:rPr>
      <w:sz w:val="16"/>
      <w:szCs w:val="16"/>
    </w:rPr>
  </w:style>
  <w:style w:type="paragraph" w:styleId="CommentText">
    <w:name w:val="annotation text"/>
    <w:basedOn w:val="Normal"/>
    <w:link w:val="CommentTextChar"/>
    <w:uiPriority w:val="99"/>
    <w:semiHidden/>
    <w:unhideWhenUsed/>
    <w:rsid w:val="00282D4A"/>
    <w:pPr>
      <w:spacing w:line="240" w:lineRule="auto"/>
    </w:pPr>
    <w:rPr>
      <w:sz w:val="20"/>
      <w:szCs w:val="20"/>
    </w:rPr>
  </w:style>
  <w:style w:type="character" w:customStyle="1" w:styleId="CommentTextChar">
    <w:name w:val="Comment Text Char"/>
    <w:basedOn w:val="DefaultParagraphFont"/>
    <w:link w:val="CommentText"/>
    <w:uiPriority w:val="99"/>
    <w:semiHidden/>
    <w:rsid w:val="00282D4A"/>
    <w:rPr>
      <w:sz w:val="20"/>
      <w:szCs w:val="20"/>
    </w:rPr>
  </w:style>
  <w:style w:type="paragraph" w:styleId="CommentSubject">
    <w:name w:val="annotation subject"/>
    <w:basedOn w:val="CommentText"/>
    <w:next w:val="CommentText"/>
    <w:link w:val="CommentSubjectChar"/>
    <w:uiPriority w:val="99"/>
    <w:semiHidden/>
    <w:unhideWhenUsed/>
    <w:rsid w:val="00282D4A"/>
    <w:rPr>
      <w:b/>
      <w:bCs/>
    </w:rPr>
  </w:style>
  <w:style w:type="character" w:customStyle="1" w:styleId="CommentSubjectChar">
    <w:name w:val="Comment Subject Char"/>
    <w:basedOn w:val="CommentTextChar"/>
    <w:link w:val="CommentSubject"/>
    <w:uiPriority w:val="99"/>
    <w:semiHidden/>
    <w:rsid w:val="00282D4A"/>
    <w:rPr>
      <w:b/>
      <w:bCs/>
      <w:sz w:val="20"/>
      <w:szCs w:val="20"/>
    </w:rPr>
  </w:style>
  <w:style w:type="paragraph" w:styleId="BalloonText">
    <w:name w:val="Balloon Text"/>
    <w:basedOn w:val="Normal"/>
    <w:link w:val="BalloonTextChar"/>
    <w:uiPriority w:val="99"/>
    <w:semiHidden/>
    <w:unhideWhenUsed/>
    <w:rsid w:val="0028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Lainé Aaron GENEVA PM</dc:creator>
  <cp:keywords/>
  <dc:description/>
  <cp:lastModifiedBy>Lainé Aaron GENEVA PM</cp:lastModifiedBy>
  <cp:revision>5</cp:revision>
  <dcterms:created xsi:type="dcterms:W3CDTF">2025-08-25T10:55:00Z</dcterms:created>
  <dcterms:modified xsi:type="dcterms:W3CDTF">2025-08-27T08:09:00Z</dcterms:modified>
</cp:coreProperties>
</file>